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default"/>
          <w:b/>
          <w:i/>
          <w:sz w:val="28"/>
          <w:highlight w:val="none"/>
          <w:shd w:val="clear"/>
          <w:lang w:val="en-US" w:eastAsia="zh-CN"/>
        </w:rPr>
        <w:t>0141</w:t>
      </w:r>
      <w:r>
        <w:rPr>
          <w:rFonts w:hint="default"/>
          <w:b/>
          <w:i/>
          <w:sz w:val="28"/>
          <w:highlight w:val="yellow"/>
          <w:shd w:val="clear"/>
          <w:lang w:val="en-US" w:eastAsia="zh-CN"/>
        </w:rPr>
        <w:t>r1</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w:t>
            </w:r>
            <w:r>
              <w:rPr>
                <w:rFonts w:hint="default"/>
                <w:b/>
                <w:sz w:val="28"/>
                <w:lang w:val="en-US" w:eastAsia="zh-CN"/>
              </w:rPr>
              <w:t>21</w:t>
            </w:r>
            <w:r>
              <w:rPr>
                <w:rFonts w:hint="eastAsia"/>
                <w:b/>
                <w:sz w:val="28"/>
                <w:lang w:val="en-US" w:eastAsia="zh-CN"/>
              </w:rPr>
              <w:t>-</w:t>
            </w:r>
            <w:r>
              <w:rPr>
                <w:rFonts w:hint="default"/>
                <w:b/>
                <w:sz w:val="28"/>
                <w:lang w:val="en-US"/>
              </w:rPr>
              <w:t>1</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1499</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 xml:space="preserve">Update TC Frequency Error </w:t>
            </w:r>
            <w:r>
              <w:rPr>
                <w:rFonts w:hint="default"/>
                <w:lang w:val="en-US" w:eastAsia="zh-CN"/>
              </w:rPr>
              <w:t xml:space="preserve">for UL MIMO </w:t>
            </w:r>
            <w:r>
              <w:rPr>
                <w:rFonts w:hint="eastAsia"/>
                <w:lang w:val="en-US" w:eastAsia="zh-CN"/>
              </w:rPr>
              <w:t>for DSS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rFonts w:hint="eastAsia" w:eastAsiaTheme="minorEastAsia"/>
                <w:lang w:eastAsia="zh-CN"/>
              </w:rPr>
            </w:pPr>
            <w:r>
              <w:rPr>
                <w:rFonts w:hint="eastAsia"/>
              </w:rPr>
              <w:t>DSS_LTE_B34_NR_Bn34_LTE_B39_NR_Bn39-UEConTest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w:t>
            </w:r>
            <w:r>
              <w:rPr>
                <w:rFonts w:hint="default"/>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eastAsia"/>
                <w:lang w:val="en-US" w:eastAsia="zh-CN"/>
              </w:rPr>
              <w:t xml:space="preserve"> TC Frequency Error </w:t>
            </w:r>
            <w:r>
              <w:rPr>
                <w:rFonts w:hint="default"/>
                <w:lang w:val="en-US" w:eastAsia="zh-CN"/>
              </w:rPr>
              <w:t xml:space="preserve">for UL MIMO need to be updated </w:t>
            </w:r>
            <w:r>
              <w:rPr>
                <w:rFonts w:hint="eastAsia"/>
                <w:lang w:val="en-US" w:eastAsia="zh-CN"/>
              </w:rPr>
              <w:t>for DSS</w:t>
            </w:r>
            <w:r>
              <w:rPr>
                <w:rFonts w:hint="default"/>
                <w:lang w:val="en-US" w:eastAsia="zh-CN"/>
              </w:rPr>
              <w:t xml:space="preserve"> testing</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r>
              <w:rPr>
                <w:rFonts w:hint="default"/>
                <w:lang w:val="en-US" w:eastAsia="zh-CN"/>
              </w:rPr>
              <w:t xml:space="preserve">The test procedures of </w:t>
            </w:r>
            <w:r>
              <w:rPr>
                <w:rFonts w:hint="eastAsia"/>
                <w:lang w:val="en-US" w:eastAsia="zh-CN"/>
              </w:rPr>
              <w:t>TC Frequency Error</w:t>
            </w:r>
            <w:r>
              <w:rPr>
                <w:rFonts w:hint="default"/>
                <w:lang w:val="en-US" w:eastAsia="zh-CN"/>
              </w:rPr>
              <w:t xml:space="preserve"> for UL MIMO have been updated to enable</w:t>
            </w:r>
            <w:r>
              <w:rPr>
                <w:rFonts w:hint="eastAsia"/>
                <w:lang w:val="en-US" w:eastAsia="zh-CN"/>
              </w:rPr>
              <w:t xml:space="preserve"> DSS</w:t>
            </w:r>
            <w:r>
              <w:rPr>
                <w:rFonts w:hint="default"/>
                <w:lang w:val="en-US" w:eastAsia="zh-CN"/>
              </w:rPr>
              <w:t xml:space="preserve"> testing</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 xml:space="preserve"> </w:t>
            </w:r>
            <w:r>
              <w:rPr>
                <w:rFonts w:hint="eastAsia"/>
                <w:lang w:val="en-US" w:eastAsia="zh-CN"/>
              </w:rPr>
              <w:t xml:space="preserve">TC Frequency Error </w:t>
            </w:r>
            <w:r>
              <w:rPr>
                <w:rFonts w:hint="default"/>
                <w:lang w:val="en-US" w:eastAsia="zh-CN"/>
              </w:rPr>
              <w:t xml:space="preserve">for UL MIMO can not be tested </w:t>
            </w:r>
            <w:r>
              <w:rPr>
                <w:rFonts w:hint="eastAsia"/>
                <w:lang w:val="en-US" w:eastAsia="zh-CN"/>
              </w:rPr>
              <w:t>for DSS.</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6.4D.1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r>
              <w:rPr>
                <w:rFonts w:hint="default"/>
                <w:highlight w:val="yellow"/>
                <w:lang w:val="en-US"/>
              </w:rPr>
              <w:t>R1: further clarifications on the applicable bands have been made in Step 5 of 6.4D.1.4.2 Test procedure.</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36713251"/>
      <w:bookmarkStart w:id="4" w:name="_Toc68538436"/>
      <w:bookmarkStart w:id="5" w:name="_Toc90971497"/>
      <w:bookmarkStart w:id="6" w:name="_Toc52217967"/>
      <w:bookmarkStart w:id="7" w:name="_Toc75510019"/>
      <w:bookmarkStart w:id="8" w:name="_Toc58499579"/>
      <w:bookmarkStart w:id="9" w:name="_Toc36713654"/>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lang w:eastAsia="zh-CN"/>
        </w:rPr>
      </w:pPr>
      <w:bookmarkStart w:id="10" w:name="_Toc83720719"/>
      <w:bookmarkStart w:id="11" w:name="_Toc76020236"/>
      <w:r>
        <w:t>6.4D.1</w:t>
      </w:r>
      <w:r>
        <w:rPr>
          <w:lang w:eastAsia="zh-CN"/>
        </w:rPr>
        <w:tab/>
      </w:r>
      <w:r>
        <w:t>Frequency error</w:t>
      </w:r>
      <w:r>
        <w:rPr>
          <w:lang w:eastAsia="zh-CN"/>
        </w:rPr>
        <w:t xml:space="preserve"> for </w:t>
      </w:r>
      <w:r>
        <w:t>UL MIMO</w:t>
      </w:r>
      <w:bookmarkEnd w:id="10"/>
      <w:bookmarkEnd w:id="11"/>
    </w:p>
    <w:p>
      <w:pPr>
        <w:pStyle w:val="8"/>
      </w:pPr>
      <w:bookmarkStart w:id="12" w:name="_Toc27478098"/>
      <w:bookmarkStart w:id="13" w:name="_Toc60823488"/>
      <w:bookmarkStart w:id="14" w:name="_Toc60825410"/>
      <w:bookmarkStart w:id="15" w:name="_Toc36226810"/>
      <w:bookmarkStart w:id="16" w:name="_Toc52990289"/>
      <w:bookmarkStart w:id="17" w:name="_Toc44324095"/>
      <w:r>
        <w:t>6.4D.1.1</w:t>
      </w:r>
      <w:r>
        <w:tab/>
      </w:r>
      <w:r>
        <w:t>Test purpose</w:t>
      </w:r>
      <w:bookmarkEnd w:id="12"/>
      <w:bookmarkEnd w:id="13"/>
      <w:bookmarkEnd w:id="14"/>
      <w:bookmarkEnd w:id="15"/>
      <w:bookmarkEnd w:id="16"/>
      <w:bookmarkEnd w:id="17"/>
    </w:p>
    <w:p>
      <w:r>
        <w:t>This test verifies the ability of both, the receiver and the transmitter for UL MIMO, to process frequency correctly.</w:t>
      </w:r>
    </w:p>
    <w:p>
      <w:r>
        <w:t>Receiver: to extract the correct frequency from the stimulus signal, offered by the System simulator, under ideal propagation conditions and low level.</w:t>
      </w:r>
    </w:p>
    <w:p>
      <w:r>
        <w:t>Transmitter: to derive the correct modulated carrier frequency for each antenna connector from the results, gained by the receiver.</w:t>
      </w:r>
    </w:p>
    <w:p>
      <w:pPr>
        <w:pStyle w:val="8"/>
      </w:pPr>
      <w:bookmarkStart w:id="18" w:name="_Toc60823489"/>
      <w:bookmarkStart w:id="19" w:name="_Toc36226811"/>
      <w:bookmarkStart w:id="20" w:name="_Toc60825411"/>
      <w:bookmarkStart w:id="21" w:name="_Toc52990290"/>
      <w:bookmarkStart w:id="22" w:name="_Toc44324096"/>
      <w:bookmarkStart w:id="23" w:name="_Toc27478099"/>
      <w:r>
        <w:t>6.4D.1.2</w:t>
      </w:r>
      <w:r>
        <w:tab/>
      </w:r>
      <w:r>
        <w:t>Test applicability</w:t>
      </w:r>
      <w:bookmarkEnd w:id="18"/>
      <w:bookmarkEnd w:id="19"/>
      <w:bookmarkEnd w:id="20"/>
      <w:bookmarkEnd w:id="21"/>
      <w:bookmarkEnd w:id="22"/>
      <w:bookmarkEnd w:id="23"/>
    </w:p>
    <w:p>
      <w:r>
        <w:t>This test case applies to all types of NR UE release 15 and forward that support UL MIMO.</w:t>
      </w:r>
    </w:p>
    <w:p>
      <w:pPr>
        <w:pStyle w:val="8"/>
      </w:pPr>
      <w:bookmarkStart w:id="24" w:name="_Toc60825412"/>
      <w:bookmarkStart w:id="25" w:name="_Toc27478100"/>
      <w:bookmarkStart w:id="26" w:name="_Toc36226812"/>
      <w:bookmarkStart w:id="27" w:name="_Toc44324097"/>
      <w:bookmarkStart w:id="28" w:name="_Toc60823490"/>
      <w:bookmarkStart w:id="29" w:name="_Toc52990291"/>
      <w:r>
        <w:t>6.4D.1.3</w:t>
      </w:r>
      <w:r>
        <w:tab/>
      </w:r>
      <w:r>
        <w:t>Minimum conformance requirements</w:t>
      </w:r>
      <w:bookmarkEnd w:id="24"/>
      <w:bookmarkEnd w:id="25"/>
      <w:bookmarkEnd w:id="26"/>
      <w:bookmarkEnd w:id="27"/>
      <w:bookmarkEnd w:id="28"/>
      <w:bookmarkEnd w:id="29"/>
    </w:p>
    <w:p>
      <w:pPr>
        <w:rPr>
          <w:lang w:eastAsia="zh-CN"/>
        </w:rPr>
      </w:pPr>
      <w:r>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ms </w:t>
      </w:r>
      <w:r>
        <w:rPr>
          <w:lang w:eastAsia="ja-JP"/>
        </w:rPr>
        <w:t>of cumulated measurement intervals</w:t>
      </w:r>
      <w:r>
        <w:t xml:space="preserve"> compared to the carrier frequency received from the NR Node B.</w:t>
      </w:r>
    </w:p>
    <w:p>
      <w:r>
        <w:t>The normative reference for this requirement is TS 38.101-1 [2] clause 6.4D.1.</w:t>
      </w:r>
    </w:p>
    <w:p>
      <w:pPr>
        <w:pStyle w:val="8"/>
      </w:pPr>
      <w:bookmarkStart w:id="30" w:name="_Toc60825413"/>
      <w:bookmarkStart w:id="31" w:name="_Toc27478101"/>
      <w:bookmarkStart w:id="32" w:name="_Toc52990292"/>
      <w:bookmarkStart w:id="33" w:name="_Toc44324098"/>
      <w:bookmarkStart w:id="34" w:name="_Toc36226813"/>
      <w:bookmarkStart w:id="35" w:name="_Toc60823491"/>
      <w:r>
        <w:t>6.4D.1.4</w:t>
      </w:r>
      <w:r>
        <w:tab/>
      </w:r>
      <w:r>
        <w:t>Test description</w:t>
      </w:r>
      <w:bookmarkEnd w:id="30"/>
      <w:bookmarkEnd w:id="31"/>
      <w:bookmarkEnd w:id="32"/>
      <w:bookmarkEnd w:id="33"/>
      <w:bookmarkEnd w:id="34"/>
      <w:bookmarkEnd w:id="35"/>
    </w:p>
    <w:p>
      <w:pPr>
        <w:pStyle w:val="8"/>
      </w:pPr>
      <w:bookmarkStart w:id="36" w:name="_Toc36226814"/>
      <w:bookmarkStart w:id="37" w:name="_Toc60825414"/>
      <w:bookmarkStart w:id="38" w:name="_Toc60823492"/>
      <w:bookmarkStart w:id="39" w:name="_Toc44324099"/>
      <w:bookmarkStart w:id="40" w:name="_Toc27478102"/>
      <w:bookmarkStart w:id="41" w:name="_Toc52990293"/>
      <w:r>
        <w:t>6.4D.1.4.1</w:t>
      </w:r>
      <w:r>
        <w:tab/>
      </w:r>
      <w:r>
        <w:t>Initial conditions</w:t>
      </w:r>
      <w:bookmarkEnd w:id="36"/>
      <w:bookmarkEnd w:id="37"/>
      <w:bookmarkEnd w:id="38"/>
      <w:bookmarkEnd w:id="39"/>
      <w:bookmarkEnd w:id="40"/>
      <w:bookmarkEnd w:id="41"/>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pPr>
        <w:pStyle w:val="62"/>
      </w:pPr>
      <w:r>
        <w:t>Table 6.4D.1.4.1-1: Test Configuration 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621"/>
        <w:gridCol w:w="1938"/>
        <w:gridCol w:w="193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Environment as specified in TS 38.508-1 [5] subclause 4.1</w:t>
            </w:r>
          </w:p>
        </w:tc>
        <w:tc>
          <w:tcPr>
            <w:tcW w:w="2647" w:type="pct"/>
            <w:gridSpan w:val="2"/>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Frequencies as specified in TS 38.508-1 [5] subclause 4.3.1</w:t>
            </w:r>
          </w:p>
        </w:tc>
        <w:tc>
          <w:tcPr>
            <w:tcW w:w="2647" w:type="pct"/>
            <w:gridSpan w:val="2"/>
          </w:tcPr>
          <w:p>
            <w:pPr>
              <w:pStyle w:val="60"/>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pPr>
            <w:r>
              <w:t>Test Channel Bandwidths as specified in TS 38.508-1 [5] subclause 4.3.1</w:t>
            </w:r>
          </w:p>
        </w:tc>
        <w:tc>
          <w:tcPr>
            <w:tcW w:w="2647" w:type="pct"/>
            <w:gridSpan w:val="2"/>
          </w:tcPr>
          <w:p>
            <w:pPr>
              <w:pStyle w:val="60"/>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53" w:type="pct"/>
            <w:gridSpan w:val="3"/>
            <w:shd w:val="clear" w:color="auto" w:fill="auto"/>
          </w:tcPr>
          <w:p>
            <w:pPr>
              <w:pStyle w:val="60"/>
            </w:pPr>
            <w:r>
              <w:t>Test SCS as specified in Table 5.3.5-1</w:t>
            </w:r>
          </w:p>
        </w:tc>
        <w:tc>
          <w:tcPr>
            <w:tcW w:w="2647" w:type="pct"/>
            <w:gridSpan w:val="2"/>
          </w:tcPr>
          <w:p>
            <w:pPr>
              <w:pStyle w:val="60"/>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8"/>
              <w:rPr>
                <w:lang w:eastAsia="zh-CN"/>
              </w:rPr>
            </w:pPr>
          </w:p>
        </w:tc>
        <w:tc>
          <w:tcPr>
            <w:tcW w:w="1840" w:type="pct"/>
            <w:gridSpan w:val="2"/>
            <w:tcBorders>
              <w:bottom w:val="single" w:color="auto" w:sz="4" w:space="0"/>
            </w:tcBorders>
            <w:shd w:val="clear" w:color="auto" w:fill="auto"/>
          </w:tcPr>
          <w:p>
            <w:pPr>
              <w:pStyle w:val="58"/>
            </w:pPr>
            <w:r>
              <w:t>Downlink Configuration</w:t>
            </w:r>
          </w:p>
        </w:tc>
        <w:tc>
          <w:tcPr>
            <w:tcW w:w="2647" w:type="pct"/>
            <w:gridSpan w:val="2"/>
          </w:tcPr>
          <w:p>
            <w:pPr>
              <w:pStyle w:val="58"/>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8"/>
              <w:rPr>
                <w:lang w:eastAsia="zh-CN"/>
              </w:rPr>
            </w:pPr>
            <w:r>
              <w:rPr>
                <w:lang w:eastAsia="zh-CN"/>
              </w:rPr>
              <w:t>Test ID</w:t>
            </w:r>
          </w:p>
        </w:tc>
        <w:tc>
          <w:tcPr>
            <w:tcW w:w="838" w:type="pct"/>
            <w:tcBorders>
              <w:bottom w:val="nil"/>
            </w:tcBorders>
            <w:shd w:val="clear" w:color="auto" w:fill="auto"/>
          </w:tcPr>
          <w:p>
            <w:pPr>
              <w:pStyle w:val="58"/>
              <w:rPr>
                <w:lang w:eastAsia="zh-CN"/>
              </w:rPr>
            </w:pPr>
            <w:r>
              <w:rPr>
                <w:lang w:eastAsia="zh-CN"/>
              </w:rPr>
              <w:t>Modulation</w:t>
            </w:r>
          </w:p>
        </w:tc>
        <w:tc>
          <w:tcPr>
            <w:tcW w:w="1002" w:type="pct"/>
            <w:tcBorders>
              <w:bottom w:val="nil"/>
            </w:tcBorders>
            <w:shd w:val="clear" w:color="auto" w:fill="auto"/>
          </w:tcPr>
          <w:p>
            <w:pPr>
              <w:pStyle w:val="58"/>
              <w:rPr>
                <w:lang w:eastAsia="zh-CN"/>
              </w:rPr>
            </w:pPr>
            <w:r>
              <w:rPr>
                <w:lang w:eastAsia="zh-CN"/>
              </w:rPr>
              <w:t>RB allocation</w:t>
            </w:r>
          </w:p>
        </w:tc>
        <w:tc>
          <w:tcPr>
            <w:tcW w:w="999" w:type="pct"/>
          </w:tcPr>
          <w:p>
            <w:pPr>
              <w:pStyle w:val="58"/>
              <w:rPr>
                <w:lang w:eastAsia="zh-CN"/>
              </w:rPr>
            </w:pPr>
            <w:r>
              <w:rPr>
                <w:lang w:eastAsia="zh-CN"/>
              </w:rPr>
              <w:t>Modulation</w:t>
            </w:r>
          </w:p>
        </w:tc>
        <w:tc>
          <w:tcPr>
            <w:tcW w:w="1648" w:type="pct"/>
            <w:shd w:val="clear" w:color="auto" w:fill="auto"/>
          </w:tcPr>
          <w:p>
            <w:pPr>
              <w:pStyle w:val="58"/>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9"/>
            </w:pPr>
            <w:r>
              <w:t>1</w:t>
            </w:r>
          </w:p>
        </w:tc>
        <w:tc>
          <w:tcPr>
            <w:tcW w:w="838" w:type="pct"/>
            <w:shd w:val="clear" w:color="auto" w:fill="auto"/>
          </w:tcPr>
          <w:p>
            <w:pPr>
              <w:pStyle w:val="59"/>
            </w:pPr>
            <w:r>
              <w:t>CP-OFDM QPSK</w:t>
            </w:r>
          </w:p>
        </w:tc>
        <w:tc>
          <w:tcPr>
            <w:tcW w:w="1002" w:type="pct"/>
            <w:shd w:val="clear" w:color="auto" w:fill="auto"/>
          </w:tcPr>
          <w:p>
            <w:pPr>
              <w:pStyle w:val="59"/>
            </w:pPr>
            <w:r>
              <w:t>Full RB (NOTE 1)</w:t>
            </w:r>
          </w:p>
        </w:tc>
        <w:tc>
          <w:tcPr>
            <w:tcW w:w="999" w:type="pct"/>
          </w:tcPr>
          <w:p>
            <w:pPr>
              <w:pStyle w:val="59"/>
            </w:pPr>
            <w:r>
              <w:t>CP-OFDM QPSK</w:t>
            </w:r>
          </w:p>
        </w:tc>
        <w:tc>
          <w:tcPr>
            <w:tcW w:w="1648" w:type="pct"/>
            <w:shd w:val="clear" w:color="auto" w:fill="auto"/>
          </w:tcPr>
          <w:p>
            <w:pPr>
              <w:pStyle w:val="59"/>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trPr>
        <w:tc>
          <w:tcPr>
            <w:tcW w:w="5000" w:type="pct"/>
            <w:gridSpan w:val="5"/>
          </w:tcPr>
          <w:p>
            <w:pPr>
              <w:pStyle w:val="73"/>
              <w:rPr>
                <w:lang w:eastAsia="zh-CN"/>
              </w:rPr>
            </w:pPr>
            <w:r>
              <w:rPr>
                <w:lang w:eastAsia="zh-CN"/>
              </w:rPr>
              <w:t>NOTE 1:</w:t>
            </w:r>
            <w:r>
              <w:tab/>
            </w:r>
            <w:r>
              <w:rPr>
                <w:lang w:eastAsia="zh-CN"/>
              </w:rPr>
              <w:t>Full RB allocation shall be used per each SCS and channel BW as specified in Table 7.3.2.4.1-2</w:t>
            </w:r>
          </w:p>
          <w:p>
            <w:pPr>
              <w:pStyle w:val="73"/>
            </w:pPr>
            <w:r>
              <w:rPr>
                <w:lang w:eastAsia="zh-CN"/>
              </w:rPr>
              <w:t>NOTE 2:</w:t>
            </w:r>
            <w:r>
              <w:tab/>
            </w:r>
            <w:r>
              <w:rPr>
                <w:lang w:eastAsia="zh-CN"/>
              </w:rPr>
              <w:t>REFSENS refers to Table 7.3.2.4.1-3 which defines uplink RB configuration and start RB location for each SCS, channel BW and NR band.</w:t>
            </w:r>
          </w:p>
        </w:tc>
      </w:tr>
    </w:tbl>
    <w:p>
      <w:pPr>
        <w:pStyle w:val="82"/>
      </w:pPr>
      <w:r>
        <w:t>1.</w:t>
      </w:r>
      <w:r>
        <w:tab/>
      </w:r>
      <w:r>
        <w:t>Connect the SS to the UE antenna connectors as shown in TS 38.508-1 [5] Annex A, Figure A.3.1.2.2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6.4D.1.4.1-1.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6.4D.1.4.3.</w:t>
      </w:r>
    </w:p>
    <w:p>
      <w:pPr>
        <w:pStyle w:val="8"/>
      </w:pPr>
      <w:bookmarkStart w:id="42" w:name="_Toc52990294"/>
      <w:bookmarkStart w:id="43" w:name="_Toc36226815"/>
      <w:bookmarkStart w:id="44" w:name="_Toc60823493"/>
      <w:bookmarkStart w:id="45" w:name="_Toc27478103"/>
      <w:bookmarkStart w:id="46" w:name="_Toc60825415"/>
      <w:bookmarkStart w:id="47" w:name="_Toc44324100"/>
      <w:r>
        <w:t>6.4D.1.4.2</w:t>
      </w:r>
      <w:r>
        <w:tab/>
      </w:r>
      <w:r>
        <w:t>Test procedure</w:t>
      </w:r>
      <w:bookmarkEnd w:id="42"/>
      <w:bookmarkEnd w:id="43"/>
      <w:bookmarkEnd w:id="44"/>
      <w:bookmarkEnd w:id="45"/>
      <w:bookmarkEnd w:id="46"/>
      <w:bookmarkEnd w:id="47"/>
    </w:p>
    <w:p>
      <w:pPr>
        <w:pStyle w:val="82"/>
      </w:pPr>
      <w:r>
        <w:t>1.</w:t>
      </w:r>
      <w:r>
        <w:tab/>
      </w:r>
      <w:r>
        <w:rPr>
          <w:lang w:eastAsia="zh-CN"/>
        </w:rPr>
        <w:t>SS transmits PDSCH via PDCCH DCI format 1_1 for C_RNTI to transmit the DL RMC according to Table</w:t>
      </w:r>
      <w:r>
        <w:t xml:space="preserve"> 6.</w:t>
      </w:r>
      <w:r>
        <w:rPr>
          <w:lang w:eastAsia="zh-CN"/>
        </w:rPr>
        <w:t>4D</w:t>
      </w:r>
      <w:r>
        <w:t>.</w:t>
      </w:r>
      <w:r>
        <w:rPr>
          <w:lang w:eastAsia="zh-CN"/>
        </w:rPr>
        <w:t>1</w:t>
      </w:r>
      <w:r>
        <w:t>.4.1-1. The SS sends downlink MAC padding bits on the DL RMC.</w:t>
      </w:r>
    </w:p>
    <w:p>
      <w:pPr>
        <w:pStyle w:val="82"/>
      </w:pPr>
      <w:r>
        <w:t>2.</w:t>
      </w:r>
      <w:r>
        <w:tab/>
      </w:r>
      <w:r>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pPr>
        <w:pStyle w:val="82"/>
      </w:pPr>
      <w:r>
        <w:t>3.</w:t>
      </w:r>
      <w:r>
        <w:tab/>
      </w:r>
      <w:r>
        <w:t>Set the Downlink signal level to the appropriate REFSENS value defined in 7.3D.2.5. Send continuously uplink power control "up" commands to the UE in every uplink scheduling information to the UE so that the UE transmits at P</w:t>
      </w:r>
      <w:r>
        <w:rPr>
          <w:vertAlign w:val="subscript"/>
        </w:rPr>
        <w:t xml:space="preserve">UMAX </w:t>
      </w:r>
      <w:r>
        <w:t>level for the duration of the test. Allow at least 200ms starting from the first TPC command in this step for the UE to reach P</w:t>
      </w:r>
      <w:r>
        <w:rPr>
          <w:vertAlign w:val="subscript"/>
        </w:rPr>
        <w:t xml:space="preserve">UMAX </w:t>
      </w:r>
      <w:r>
        <w:t>level.</w:t>
      </w:r>
    </w:p>
    <w:p>
      <w:pPr>
        <w:pStyle w:val="82"/>
        <w:rPr>
          <w:ins w:id="0" w:author="Danni SONG(CMCC)" w:date="2022-01-24T18:00:14Z"/>
        </w:rPr>
      </w:pPr>
      <w:r>
        <w:t>4.</w:t>
      </w:r>
      <w:r>
        <w:tab/>
      </w:r>
      <w:r>
        <w:t>Measure the Frequency Error using Global In-Channel Tx-Test (Annex E) at each transmit antenna connector of the UE. For TDD, only slots consisting of only UL symbols are under test.</w:t>
      </w:r>
    </w:p>
    <w:p>
      <w:pPr>
        <w:pStyle w:val="82"/>
        <w:rPr>
          <w:rFonts w:hint="default"/>
          <w:lang w:val="en-US"/>
        </w:rPr>
      </w:pPr>
      <w:ins w:id="1" w:author="wangliyuan@hq.cmcc" w:date="2022-02-24T14:12:53Z">
        <w:r>
          <w:rPr>
            <w:rFonts w:hint="default"/>
            <w:lang w:val="en-US"/>
          </w:rPr>
          <w:t>5.</w:t>
        </w:r>
      </w:ins>
      <w:ins w:id="2" w:author="wangliyuan@hq.cmcc" w:date="2022-02-24T14:12:53Z">
        <w:r>
          <w:rPr/>
          <w:tab/>
        </w:r>
      </w:ins>
      <w:ins w:id="3" w:author="wangliyuan@hq.cmcc" w:date="2022-02-24T14:12:53Z">
        <w:r>
          <w:rPr/>
          <w:t>For UEs supporting</w:t>
        </w:r>
      </w:ins>
      <w:ins w:id="4" w:author="wangliyuan@hq.cmcc" w:date="2022-02-24T14:12:53Z">
        <w:r>
          <w:rPr>
            <w:lang w:eastAsia="zh-CN"/>
          </w:rPr>
          <w:t xml:space="preserve"> </w:t>
        </w:r>
      </w:ins>
      <w:ins w:id="5" w:author="wangliyuan@hq.cmcc" w:date="2022-02-24T14:12:53Z">
        <w:r>
          <w:rPr>
            <w:rFonts w:hint="default"/>
            <w:lang w:val="en-US" w:eastAsia="zh-CN"/>
          </w:rPr>
          <w:t>DSS</w:t>
        </w:r>
      </w:ins>
      <w:ins w:id="6" w:author="wangliyuan@hq.cmcc" w:date="2022-02-24T14:12:53Z">
        <w:r>
          <w:rPr>
            <w:lang w:eastAsia="zh-CN"/>
          </w:rPr>
          <w:t>, repeat steps 1~</w:t>
        </w:r>
      </w:ins>
      <w:ins w:id="7" w:author="wangliyuan@hq.cmcc" w:date="2022-02-24T14:12:53Z">
        <w:r>
          <w:rPr>
            <w:rFonts w:hint="default"/>
            <w:lang w:val="en-US" w:eastAsia="zh-CN"/>
          </w:rPr>
          <w:t>4</w:t>
        </w:r>
      </w:ins>
      <w:ins w:id="8" w:author="wangliyuan@hq.cmcc" w:date="2022-02-24T14:12:53Z">
        <w:r>
          <w:rPr>
            <w:lang w:eastAsia="zh-CN"/>
          </w:rPr>
          <w:t xml:space="preserve"> on the applicable bands </w:t>
        </w:r>
      </w:ins>
      <w:ins w:id="9" w:author="wangliyuan@hq.cmcc" w:date="2022-02-24T14:12:58Z">
        <w:r>
          <w:rPr>
            <w:rFonts w:hint="default"/>
            <w:highlight w:val="yellow"/>
            <w:lang w:val="en-US" w:eastAsia="zh-CN"/>
            <w:rPrChange w:id="10" w:author="wangliyuan@hq.cmcc" w:date="2022-02-24T14:13:19Z">
              <w:rPr>
                <w:rFonts w:hint="default"/>
                <w:lang w:val="en-US" w:eastAsia="zh-CN"/>
              </w:rPr>
            </w:rPrChange>
          </w:rPr>
          <w:t xml:space="preserve">as </w:t>
        </w:r>
      </w:ins>
      <w:ins w:id="12" w:author="wangliyuan@hq.cmcc" w:date="2022-02-24T14:12:59Z">
        <w:r>
          <w:rPr>
            <w:rFonts w:hint="default"/>
            <w:highlight w:val="yellow"/>
            <w:lang w:val="en-US" w:eastAsia="zh-CN"/>
            <w:rPrChange w:id="13" w:author="wangliyuan@hq.cmcc" w:date="2022-02-24T14:13:19Z">
              <w:rPr>
                <w:rFonts w:hint="default"/>
                <w:lang w:val="en-US" w:eastAsia="zh-CN"/>
              </w:rPr>
            </w:rPrChange>
          </w:rPr>
          <w:t>s</w:t>
        </w:r>
      </w:ins>
      <w:ins w:id="15" w:author="wangliyuan@hq.cmcc" w:date="2022-02-24T14:13:00Z">
        <w:r>
          <w:rPr>
            <w:rFonts w:hint="default"/>
            <w:highlight w:val="yellow"/>
            <w:lang w:val="en-US" w:eastAsia="zh-CN"/>
            <w:rPrChange w:id="16" w:author="wangliyuan@hq.cmcc" w:date="2022-02-24T14:13:19Z">
              <w:rPr>
                <w:rFonts w:hint="default"/>
                <w:lang w:val="en-US" w:eastAsia="zh-CN"/>
              </w:rPr>
            </w:rPrChange>
          </w:rPr>
          <w:t>peci</w:t>
        </w:r>
      </w:ins>
      <w:ins w:id="18" w:author="wangliyuan@hq.cmcc" w:date="2022-02-24T14:13:01Z">
        <w:r>
          <w:rPr>
            <w:rFonts w:hint="default"/>
            <w:highlight w:val="yellow"/>
            <w:lang w:val="en-US" w:eastAsia="zh-CN"/>
            <w:rPrChange w:id="19" w:author="wangliyuan@hq.cmcc" w:date="2022-02-24T14:13:19Z">
              <w:rPr>
                <w:rFonts w:hint="default"/>
                <w:lang w:val="en-US" w:eastAsia="zh-CN"/>
              </w:rPr>
            </w:rPrChange>
          </w:rPr>
          <w:t>fied</w:t>
        </w:r>
      </w:ins>
      <w:ins w:id="21" w:author="wangliyuan@hq.cmcc" w:date="2022-02-24T14:13:02Z">
        <w:r>
          <w:rPr>
            <w:rFonts w:hint="default"/>
            <w:highlight w:val="yellow"/>
            <w:lang w:val="en-US" w:eastAsia="zh-CN"/>
            <w:rPrChange w:id="22" w:author="wangliyuan@hq.cmcc" w:date="2022-02-24T14:13:19Z">
              <w:rPr>
                <w:rFonts w:hint="default"/>
                <w:lang w:val="en-US" w:eastAsia="zh-CN"/>
              </w:rPr>
            </w:rPrChange>
          </w:rPr>
          <w:t xml:space="preserve"> </w:t>
        </w:r>
      </w:ins>
      <w:ins w:id="24" w:author="wangliyuan@hq.cmcc" w:date="2022-02-24T14:13:03Z">
        <w:r>
          <w:rPr>
            <w:rFonts w:hint="default"/>
            <w:highlight w:val="yellow"/>
            <w:lang w:val="en-US" w:eastAsia="zh-CN"/>
            <w:rPrChange w:id="25" w:author="wangliyuan@hq.cmcc" w:date="2022-02-24T14:13:19Z">
              <w:rPr>
                <w:rFonts w:hint="default"/>
                <w:lang w:val="en-US" w:eastAsia="zh-CN"/>
              </w:rPr>
            </w:rPrChange>
          </w:rPr>
          <w:t xml:space="preserve">in </w:t>
        </w:r>
      </w:ins>
      <w:ins w:id="27" w:author="wangliyuan@hq.cmcc" w:date="2022-02-24T14:13:04Z">
        <w:r>
          <w:rPr>
            <w:rFonts w:hint="default"/>
            <w:highlight w:val="yellow"/>
            <w:lang w:val="en-US" w:eastAsia="zh-CN"/>
            <w:rPrChange w:id="28" w:author="wangliyuan@hq.cmcc" w:date="2022-02-24T14:13:19Z">
              <w:rPr>
                <w:rFonts w:hint="default"/>
                <w:lang w:val="en-US" w:eastAsia="zh-CN"/>
              </w:rPr>
            </w:rPrChange>
          </w:rPr>
          <w:t>S</w:t>
        </w:r>
      </w:ins>
      <w:ins w:id="30" w:author="wangliyuan@hq.cmcc" w:date="2022-02-24T14:13:05Z">
        <w:r>
          <w:rPr>
            <w:rFonts w:hint="default"/>
            <w:highlight w:val="yellow"/>
            <w:lang w:val="en-US" w:eastAsia="zh-CN"/>
            <w:rPrChange w:id="31" w:author="wangliyuan@hq.cmcc" w:date="2022-02-24T14:13:19Z">
              <w:rPr>
                <w:rFonts w:hint="default"/>
                <w:lang w:val="en-US" w:eastAsia="zh-CN"/>
              </w:rPr>
            </w:rPrChange>
          </w:rPr>
          <w:t>ec</w:t>
        </w:r>
      </w:ins>
      <w:ins w:id="33" w:author="wangliyuan@hq.cmcc" w:date="2022-02-24T14:13:06Z">
        <w:r>
          <w:rPr>
            <w:rFonts w:hint="default"/>
            <w:highlight w:val="yellow"/>
            <w:lang w:val="en-US" w:eastAsia="zh-CN"/>
            <w:rPrChange w:id="34" w:author="wangliyuan@hq.cmcc" w:date="2022-02-24T14:13:19Z">
              <w:rPr>
                <w:rFonts w:hint="default"/>
                <w:lang w:val="en-US" w:eastAsia="zh-CN"/>
              </w:rPr>
            </w:rPrChange>
          </w:rPr>
          <w:t>tion</w:t>
        </w:r>
      </w:ins>
      <w:ins w:id="36" w:author="wangliyuan@hq.cmcc" w:date="2022-02-24T14:13:07Z">
        <w:r>
          <w:rPr>
            <w:rFonts w:hint="default"/>
            <w:highlight w:val="yellow"/>
            <w:lang w:val="en-US" w:eastAsia="zh-CN"/>
            <w:rPrChange w:id="37" w:author="wangliyuan@hq.cmcc" w:date="2022-02-24T14:13:19Z">
              <w:rPr>
                <w:rFonts w:hint="default"/>
                <w:lang w:val="en-US" w:eastAsia="zh-CN"/>
              </w:rPr>
            </w:rPrChange>
          </w:rPr>
          <w:t xml:space="preserve"> </w:t>
        </w:r>
      </w:ins>
      <w:ins w:id="39" w:author="wangliyuan@hq.cmcc" w:date="2022-02-24T14:13:09Z">
        <w:r>
          <w:rPr>
            <w:rFonts w:hint="default"/>
            <w:highlight w:val="yellow"/>
            <w:lang w:val="en-US" w:eastAsia="zh-CN"/>
            <w:rPrChange w:id="40" w:author="wangliyuan@hq.cmcc" w:date="2022-02-24T14:13:19Z">
              <w:rPr>
                <w:rFonts w:hint="default"/>
                <w:lang w:val="en-US" w:eastAsia="zh-CN"/>
              </w:rPr>
            </w:rPrChange>
          </w:rPr>
          <w:t>5</w:t>
        </w:r>
      </w:ins>
      <w:ins w:id="42" w:author="wangliyuan@hq.cmcc" w:date="2022-02-24T14:13:10Z">
        <w:r>
          <w:rPr>
            <w:rFonts w:hint="default"/>
            <w:highlight w:val="yellow"/>
            <w:lang w:val="en-US" w:eastAsia="zh-CN"/>
            <w:rPrChange w:id="43" w:author="wangliyuan@hq.cmcc" w:date="2022-02-24T14:13:19Z">
              <w:rPr>
                <w:rFonts w:hint="default"/>
                <w:lang w:val="en-US" w:eastAsia="zh-CN"/>
              </w:rPr>
            </w:rPrChange>
          </w:rPr>
          <w:t>.</w:t>
        </w:r>
      </w:ins>
      <w:ins w:id="45" w:author="wangliyuan@hq.cmcc" w:date="2022-02-24T14:13:11Z">
        <w:r>
          <w:rPr>
            <w:rFonts w:hint="default"/>
            <w:highlight w:val="yellow"/>
            <w:lang w:val="en-US" w:eastAsia="zh-CN"/>
            <w:rPrChange w:id="46" w:author="wangliyuan@hq.cmcc" w:date="2022-02-24T14:13:19Z">
              <w:rPr>
                <w:rFonts w:hint="default"/>
                <w:lang w:val="en-US" w:eastAsia="zh-CN"/>
              </w:rPr>
            </w:rPrChange>
          </w:rPr>
          <w:t>4.2.</w:t>
        </w:r>
      </w:ins>
      <w:ins w:id="48" w:author="wangliyuan@hq.cmcc" w:date="2022-02-24T14:13:12Z">
        <w:r>
          <w:rPr>
            <w:rFonts w:hint="default"/>
            <w:highlight w:val="yellow"/>
            <w:lang w:val="en-US" w:eastAsia="zh-CN"/>
            <w:rPrChange w:id="49" w:author="wangliyuan@hq.cmcc" w:date="2022-02-24T14:13:19Z">
              <w:rPr>
                <w:rFonts w:hint="default"/>
                <w:lang w:val="en-US" w:eastAsia="zh-CN"/>
              </w:rPr>
            </w:rPrChange>
          </w:rPr>
          <w:t>1</w:t>
        </w:r>
      </w:ins>
      <w:ins w:id="51" w:author="wangliyuan@hq.cmcc" w:date="2022-02-24T14:13:12Z">
        <w:r>
          <w:rPr>
            <w:rFonts w:hint="default"/>
            <w:lang w:val="en-US" w:eastAsia="zh-CN"/>
          </w:rPr>
          <w:t xml:space="preserve"> </w:t>
        </w:r>
      </w:ins>
      <w:ins w:id="52" w:author="wangliyuan@hq.cmcc" w:date="2022-02-24T14:12:53Z">
        <w:r>
          <w:rPr>
            <w:lang w:eastAsia="zh-CN"/>
          </w:rPr>
          <w:t xml:space="preserve">with message </w:t>
        </w:r>
      </w:ins>
      <w:ins w:id="53" w:author="wangliyuan@hq.cmcc" w:date="2022-02-24T14:12:53Z">
        <w:r>
          <w:rPr/>
          <w:t xml:space="preserve">contents </w:t>
        </w:r>
      </w:ins>
      <w:ins w:id="54" w:author="wangliyuan@hq.cmcc" w:date="2022-02-24T14:12:53Z">
        <w:r>
          <w:rPr>
            <w:rFonts w:hint="default"/>
            <w:lang w:val="en-US"/>
          </w:rPr>
          <w:t>being</w:t>
        </w:r>
      </w:ins>
      <w:ins w:id="55" w:author="wangliyuan@hq.cmcc" w:date="2022-02-24T14:12:53Z">
        <w:r>
          <w:rPr/>
          <w:t xml:space="preserve"> according to TS 38.508-1 [5] subclause 4.6 ensuring </w:t>
        </w:r>
      </w:ins>
      <w:ins w:id="56" w:author="wangliyuan@hq.cmcc" w:date="2022-02-24T14:12:53Z">
        <w:r>
          <w:rPr>
            <w:lang w:val="en-GB" w:eastAsia="en-GB"/>
          </w:rPr>
          <w:t>Table 4.6.3-61</w:t>
        </w:r>
      </w:ins>
      <w:ins w:id="57" w:author="wangliyuan@hq.cmcc" w:date="2022-02-24T14:12:53Z">
        <w:r>
          <w:rPr>
            <w:rFonts w:hint="default"/>
            <w:lang w:val="en-US" w:eastAsia="en-GB"/>
          </w:rPr>
          <w:t xml:space="preserve"> and </w:t>
        </w:r>
      </w:ins>
      <w:ins w:id="58" w:author="wangliyuan@hq.cmcc" w:date="2022-02-24T14:12:53Z">
        <w:r>
          <w:rPr/>
          <w:t>Table 4.6.3-</w:t>
        </w:r>
      </w:ins>
      <w:ins w:id="59" w:author="wangliyuan@hq.cmcc" w:date="2022-02-24T14:12:53Z">
        <w:r>
          <w:rPr>
            <w:rFonts w:hint="default"/>
            <w:lang w:val="en-US"/>
          </w:rPr>
          <w:t>6</w:t>
        </w:r>
      </w:ins>
      <w:ins w:id="60" w:author="wangliyuan@hq.cmcc" w:date="2022-02-24T14:12:53Z">
        <w:r>
          <w:rPr/>
          <w:t xml:space="preserve">2 with condition </w:t>
        </w:r>
      </w:ins>
      <w:ins w:id="61" w:author="wangliyuan@hq.cmcc" w:date="2022-02-24T14:12:53Z">
        <w:r>
          <w:rPr>
            <w:rFonts w:hint="default"/>
            <w:lang w:val="en-US"/>
          </w:rPr>
          <w:t>DSS</w:t>
        </w:r>
      </w:ins>
      <w:ins w:id="62" w:author="wangliyuan@hq.cmcc" w:date="2022-02-24T14:13:54Z">
        <w:r>
          <w:rPr>
            <w:rFonts w:hint="default"/>
            <w:lang w:val="en-US"/>
          </w:rPr>
          <w:t>.</w:t>
        </w:r>
      </w:ins>
      <w:bookmarkStart w:id="60" w:name="_GoBack"/>
      <w:bookmarkEnd w:id="60"/>
    </w:p>
    <w:p>
      <w:pPr>
        <w:pStyle w:val="8"/>
      </w:pPr>
      <w:bookmarkStart w:id="48" w:name="_Toc36226816"/>
      <w:bookmarkStart w:id="49" w:name="_Toc60825416"/>
      <w:bookmarkStart w:id="50" w:name="_Toc27478104"/>
      <w:bookmarkStart w:id="51" w:name="_Toc52990295"/>
      <w:bookmarkStart w:id="52" w:name="_Toc60823494"/>
      <w:bookmarkStart w:id="53" w:name="_Toc44324101"/>
      <w:r>
        <w:t>6.4D.1.4.3</w:t>
      </w:r>
      <w:r>
        <w:tab/>
      </w:r>
      <w:r>
        <w:t>Message contents</w:t>
      </w:r>
      <w:bookmarkEnd w:id="48"/>
      <w:bookmarkEnd w:id="49"/>
      <w:bookmarkEnd w:id="50"/>
      <w:bookmarkEnd w:id="51"/>
      <w:bookmarkEnd w:id="52"/>
      <w:bookmarkEnd w:id="53"/>
    </w:p>
    <w:p>
      <w:r>
        <w:t>Message contents are according to TS 38.508-1 [5] subclause 4.6 ensuring Table 4.6.3-182 with condition 2TX_UL_MIMO.</w:t>
      </w:r>
    </w:p>
    <w:p>
      <w:pPr>
        <w:pStyle w:val="8"/>
      </w:pPr>
      <w:bookmarkStart w:id="54" w:name="_Toc27478105"/>
      <w:bookmarkStart w:id="55" w:name="_Toc60825417"/>
      <w:bookmarkStart w:id="56" w:name="_Toc52990296"/>
      <w:bookmarkStart w:id="57" w:name="_Toc44324102"/>
      <w:bookmarkStart w:id="58" w:name="_Toc36226817"/>
      <w:bookmarkStart w:id="59" w:name="_Toc60823495"/>
      <w:r>
        <w:t>6.4D.1.5</w:t>
      </w:r>
      <w:r>
        <w:tab/>
      </w:r>
      <w:r>
        <w:t>Test requirement</w:t>
      </w:r>
      <w:bookmarkEnd w:id="54"/>
      <w:bookmarkEnd w:id="55"/>
      <w:bookmarkEnd w:id="56"/>
      <w:bookmarkEnd w:id="57"/>
      <w:bookmarkEnd w:id="58"/>
      <w:bookmarkEnd w:id="59"/>
    </w:p>
    <w:p>
      <w:r>
        <w:t>The requirements apply to each transmit antenna connector.</w:t>
      </w:r>
    </w:p>
    <w:p>
      <w:r>
        <w:t>The 10 frequency error Δf results must fulfil the test requirement:</w:t>
      </w:r>
    </w:p>
    <w:p>
      <w:pPr>
        <w:pStyle w:val="69"/>
        <w:jc w:val="center"/>
        <w:rPr>
          <w:rFonts w:eastAsia="??"/>
          <w:color w:val="FF0000"/>
          <w:sz w:val="32"/>
        </w:rPr>
      </w:pPr>
      <w:r>
        <w:t>|Δf| ≤ (0.1PPM+</w:t>
      </w:r>
      <w:r>
        <w:rPr>
          <w:lang w:eastAsia="zh-CN"/>
        </w:rPr>
        <w:t>15</w:t>
      </w:r>
      <w:r>
        <w:t xml:space="preserve"> Hz)</w:t>
      </w:r>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5B815FD"/>
    <w:rsid w:val="06CF4142"/>
    <w:rsid w:val="087533CC"/>
    <w:rsid w:val="0C717524"/>
    <w:rsid w:val="0D603A76"/>
    <w:rsid w:val="0F2F609A"/>
    <w:rsid w:val="154C4720"/>
    <w:rsid w:val="164F46CE"/>
    <w:rsid w:val="19FC6555"/>
    <w:rsid w:val="1A077050"/>
    <w:rsid w:val="1FC01684"/>
    <w:rsid w:val="29C466C7"/>
    <w:rsid w:val="32165804"/>
    <w:rsid w:val="336A3524"/>
    <w:rsid w:val="3A982A3E"/>
    <w:rsid w:val="4A3E30CB"/>
    <w:rsid w:val="4B325D69"/>
    <w:rsid w:val="4E6F141E"/>
    <w:rsid w:val="4E7176EC"/>
    <w:rsid w:val="4F240681"/>
    <w:rsid w:val="50E11D85"/>
    <w:rsid w:val="52842396"/>
    <w:rsid w:val="54E136D7"/>
    <w:rsid w:val="5C3130EB"/>
    <w:rsid w:val="62DC2BAC"/>
    <w:rsid w:val="68194022"/>
    <w:rsid w:val="6A030EBF"/>
    <w:rsid w:val="6DE93BBD"/>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1</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2022-02-24T06:13:58Z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DABDB5AE9F9F4CF9BD92A343D44D27C6</vt:lpwstr>
  </property>
</Properties>
</file>